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vertAlign w:val="baseline"/>
          <w:rtl w:val="0"/>
        </w:rPr>
        <w:t xml:space="preserve"> </w:t>
      </w:r>
    </w:p>
    <w:p w:rsidR="00000000" w:rsidDel="00000000" w:rsidP="00000000" w:rsidRDefault="00000000" w:rsidRPr="00000000" w14:paraId="00000002">
      <w:pPr>
        <w:jc w:val="both"/>
        <w:rPr>
          <w:rFonts w:ascii="Times New Roman" w:cs="Times New Roman" w:eastAsia="Times New Roman" w:hAnsi="Times New Roman"/>
          <w:vertAlign w:val="baseline"/>
        </w:rPr>
      </w:pPr>
      <w:r w:rsidDel="00000000" w:rsidR="00000000" w:rsidRPr="00000000">
        <w:rPr>
          <w:rtl w:val="0"/>
        </w:rPr>
      </w:r>
    </w:p>
    <w:tbl>
      <w:tblPr>
        <w:tblStyle w:val="Table1"/>
        <w:tblW w:w="9468.0" w:type="dxa"/>
        <w:jc w:val="cente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12"/>
        <w:gridCol w:w="1940"/>
        <w:gridCol w:w="1159"/>
        <w:gridCol w:w="2021"/>
        <w:gridCol w:w="1236"/>
        <w:tblGridChange w:id="0">
          <w:tblGrid>
            <w:gridCol w:w="3112"/>
            <w:gridCol w:w="1940"/>
            <w:gridCol w:w="1159"/>
            <w:gridCol w:w="2021"/>
            <w:gridCol w:w="1236"/>
          </w:tblGrid>
        </w:tblGridChange>
      </w:tblGrid>
      <w:tr>
        <w:trPr>
          <w:trHeight w:val="227" w:hRule="atLeast"/>
        </w:trPr>
        <w:tc>
          <w:tcPr>
            <w:gridSpan w:val="5"/>
            <w:vAlign w:val="center"/>
          </w:tcPr>
          <w:p w:rsidR="00000000" w:rsidDel="00000000" w:rsidP="00000000" w:rsidRDefault="00000000" w:rsidRPr="00000000" w14:paraId="0000000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Студијски програм: </w:t>
            </w:r>
            <w:r w:rsidDel="00000000" w:rsidR="00000000" w:rsidRPr="00000000">
              <w:rPr>
                <w:rFonts w:ascii="Times New Roman" w:cs="Times New Roman" w:eastAsia="Times New Roman" w:hAnsi="Times New Roman"/>
                <w:sz w:val="20"/>
                <w:szCs w:val="20"/>
                <w:vertAlign w:val="baseline"/>
                <w:rtl w:val="0"/>
              </w:rPr>
              <w:t xml:space="preserve">Међународне студије, Социјална политика и социјални рад</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08">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Назив предмета:  </w:t>
            </w:r>
            <w:r w:rsidDel="00000000" w:rsidR="00000000" w:rsidRPr="00000000">
              <w:rPr>
                <w:rFonts w:ascii="Times New Roman" w:cs="Times New Roman" w:eastAsia="Times New Roman" w:hAnsi="Times New Roman"/>
                <w:sz w:val="20"/>
                <w:szCs w:val="20"/>
                <w:vertAlign w:val="baseline"/>
                <w:rtl w:val="0"/>
              </w:rPr>
              <w:t xml:space="preserve">Међународне организације</w:t>
            </w:r>
          </w:p>
        </w:tc>
      </w:tr>
      <w:tr>
        <w:trPr>
          <w:trHeight w:val="227" w:hRule="atLeast"/>
        </w:trPr>
        <w:tc>
          <w:tcPr>
            <w:gridSpan w:val="5"/>
            <w:vAlign w:val="center"/>
          </w:tcPr>
          <w:p w:rsidR="00000000" w:rsidDel="00000000" w:rsidP="00000000" w:rsidRDefault="00000000" w:rsidRPr="00000000" w14:paraId="0000000D">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Наставник/наставници: </w:t>
            </w:r>
            <w:r w:rsidDel="00000000" w:rsidR="00000000" w:rsidRPr="00000000">
              <w:rPr>
                <w:rFonts w:ascii="Times New Roman" w:cs="Times New Roman" w:eastAsia="Times New Roman" w:hAnsi="Times New Roman"/>
                <w:sz w:val="20"/>
                <w:szCs w:val="20"/>
                <w:vertAlign w:val="baseline"/>
                <w:rtl w:val="0"/>
              </w:rPr>
              <w:t xml:space="preserve">проф. др Тања Н. Мишчевић, сарадник МА Немања В. Пурић</w:t>
            </w:r>
          </w:p>
        </w:tc>
      </w:tr>
      <w:tr>
        <w:trPr>
          <w:trHeight w:val="227" w:hRule="atLeast"/>
        </w:trPr>
        <w:tc>
          <w:tcPr>
            <w:gridSpan w:val="5"/>
            <w:vAlign w:val="center"/>
          </w:tcPr>
          <w:p w:rsidR="00000000" w:rsidDel="00000000" w:rsidP="00000000" w:rsidRDefault="00000000" w:rsidRPr="00000000" w14:paraId="00000012">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Статус предмета: </w:t>
            </w:r>
            <w:r w:rsidDel="00000000" w:rsidR="00000000" w:rsidRPr="00000000">
              <w:rPr>
                <w:rFonts w:ascii="Times New Roman" w:cs="Times New Roman" w:eastAsia="Times New Roman" w:hAnsi="Times New Roman"/>
                <w:sz w:val="20"/>
                <w:szCs w:val="20"/>
                <w:vertAlign w:val="baseline"/>
                <w:rtl w:val="0"/>
              </w:rPr>
              <w:t xml:space="preserve">Обавезан (М), Изборни (С)</w:t>
            </w:r>
          </w:p>
        </w:tc>
      </w:tr>
      <w:tr>
        <w:trPr>
          <w:trHeight w:val="227" w:hRule="atLeast"/>
        </w:trPr>
        <w:tc>
          <w:tcPr>
            <w:gridSpan w:val="5"/>
            <w:vAlign w:val="center"/>
          </w:tcPr>
          <w:p w:rsidR="00000000" w:rsidDel="00000000" w:rsidP="00000000" w:rsidRDefault="00000000" w:rsidRPr="00000000" w14:paraId="00000017">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ЕСПБ: </w:t>
            </w:r>
            <w:r w:rsidDel="00000000" w:rsidR="00000000" w:rsidRPr="00000000">
              <w:rPr>
                <w:rFonts w:ascii="Times New Roman" w:cs="Times New Roman" w:eastAsia="Times New Roman" w:hAnsi="Times New Roman"/>
                <w:sz w:val="20"/>
                <w:szCs w:val="20"/>
                <w:vertAlign w:val="baseline"/>
                <w:rtl w:val="0"/>
              </w:rPr>
              <w:t xml:space="preserve">5</w:t>
            </w:r>
          </w:p>
        </w:tc>
      </w:tr>
      <w:tr>
        <w:trPr>
          <w:trHeight w:val="227" w:hRule="atLeast"/>
        </w:trPr>
        <w:tc>
          <w:tcPr>
            <w:gridSpan w:val="5"/>
            <w:vAlign w:val="center"/>
          </w:tcPr>
          <w:p w:rsidR="00000000" w:rsidDel="00000000" w:rsidP="00000000" w:rsidRDefault="00000000" w:rsidRPr="00000000" w14:paraId="0000001C">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Услов:</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1">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Циљ предмета</w:t>
            </w:r>
            <w:r w:rsidDel="00000000" w:rsidR="00000000" w:rsidRPr="00000000">
              <w:rPr>
                <w:rtl w:val="0"/>
              </w:rPr>
            </w:r>
          </w:p>
          <w:p w:rsidR="00000000" w:rsidDel="00000000" w:rsidP="00000000" w:rsidRDefault="00000000" w:rsidRPr="00000000" w14:paraId="00000022">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Изучавање међународних организација преко изучавања њихове структуре, начина рада и утицаја у међународном праву и односима данас је уобичајени начин посматрања и констатовања њиховог значаја. Због тога се на овом курсу студенти неће упознавати са деловањем појединачних међународних организација (што је немогуће због њиховог броја), већ са моделом типичне међународне организације, њеним устројством и одликама рада, што се затим примењује на примерима таквих организација. Такође се прави поређење са новим видовима међународног организовања, оперативним и наднационалним</w:t>
            </w:r>
          </w:p>
          <w:p w:rsidR="00000000" w:rsidDel="00000000" w:rsidP="00000000" w:rsidRDefault="00000000" w:rsidRPr="00000000" w14:paraId="0000002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организацијама, као промотерима евентуалних промена у интерном праву међународних организација</w:t>
            </w:r>
            <w:r w:rsidDel="00000000" w:rsidR="00000000" w:rsidRPr="00000000">
              <w:rPr>
                <w:rFonts w:ascii="Times New Roman" w:cs="Times New Roman" w:eastAsia="Times New Roman" w:hAnsi="Times New Roman"/>
                <w:b w:val="1"/>
                <w:sz w:val="20"/>
                <w:szCs w:val="20"/>
                <w:vertAlign w:val="baseline"/>
                <w:rtl w:val="0"/>
              </w:rPr>
              <w:t xml:space="preserve">.</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Исход предмета </w:t>
            </w:r>
            <w:r w:rsidDel="00000000" w:rsidR="00000000" w:rsidRPr="00000000">
              <w:rPr>
                <w:rtl w:val="0"/>
              </w:rPr>
            </w:r>
          </w:p>
          <w:p w:rsidR="00000000" w:rsidDel="00000000" w:rsidP="00000000" w:rsidRDefault="00000000" w:rsidRPr="00000000" w14:paraId="00000029">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Сврха овог предмета јесте да упозна студенте са основним обележјима деловања међународних</w:t>
            </w:r>
          </w:p>
          <w:p w:rsidR="00000000" w:rsidDel="00000000" w:rsidP="00000000" w:rsidRDefault="00000000" w:rsidRPr="00000000" w14:paraId="0000002A">
            <w:pPr>
              <w:jc w:val="both"/>
              <w:rPr>
                <w:rFonts w:ascii="Times New Roman" w:cs="Times New Roman" w:eastAsia="Times New Roman" w:hAnsi="Times New Roman"/>
                <w:vertAlign w:val="baseline"/>
              </w:rPr>
            </w:pPr>
            <w:r w:rsidDel="00000000" w:rsidR="00000000" w:rsidRPr="00000000">
              <w:rPr>
                <w:rFonts w:ascii="Times New Roman" w:cs="Times New Roman" w:eastAsia="Times New Roman" w:hAnsi="Times New Roman"/>
                <w:sz w:val="20"/>
                <w:szCs w:val="20"/>
                <w:vertAlign w:val="baseline"/>
                <w:rtl w:val="0"/>
              </w:rPr>
              <w:t xml:space="preserve">организација, користећи се приказом уобичајених обележја типичних међународних организација, дакле највећег броја организација које данас постоје. Задатак јесте да студенти стекну способност да препознавањем тих обележја могу да оцењују рад организације, као и да буду у стању да примене знања о институционалном праву организација, чак и у условима рада у таквим организацијама. Такође, задатак јесте и развијање способности студената да интегришу знање, како би могли да расуђују на основу доступних информација и да примене до тада стечена знања током студија на боље разумевање савременог међународног организовања.</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2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Садржај предмета</w:t>
            </w:r>
            <w:r w:rsidDel="00000000" w:rsidR="00000000" w:rsidRPr="00000000">
              <w:rPr>
                <w:rtl w:val="0"/>
              </w:rPr>
            </w:r>
          </w:p>
          <w:p w:rsidR="00000000" w:rsidDel="00000000" w:rsidP="00000000" w:rsidRDefault="00000000" w:rsidRPr="00000000" w14:paraId="0000003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Теоријска настава</w:t>
            </w:r>
            <w:r w:rsidDel="00000000" w:rsidR="00000000" w:rsidRPr="00000000">
              <w:rPr>
                <w:rtl w:val="0"/>
              </w:rPr>
            </w:r>
          </w:p>
          <w:p w:rsidR="00000000" w:rsidDel="00000000" w:rsidP="00000000" w:rsidRDefault="00000000" w:rsidRPr="00000000" w14:paraId="00000031">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Појам међународне организације и њеног унутрашњег деловања, Преглед развоја међународних</w:t>
            </w:r>
          </w:p>
          <w:p w:rsidR="00000000" w:rsidDel="00000000" w:rsidP="00000000" w:rsidRDefault="00000000" w:rsidRPr="00000000" w14:paraId="00000032">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организација, Класификација међународних организација, Правни субјективитет међународних</w:t>
            </w:r>
          </w:p>
          <w:p w:rsidR="00000000" w:rsidDel="00000000" w:rsidP="00000000" w:rsidRDefault="00000000" w:rsidRPr="00000000" w14:paraId="00000033">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организација, Интерно, институционално право међународних организација, Чланство у међународним организацијама, Финансирање међународних организација, Структура међународне организације, Надлежност органа међуанродне организације, Процес доношења одлука у међународним организацијама, Међународне организације и решавање спорова, Промене у устројству и нестанак међународне организације, Специфичност институционалне структуре организација са елементима наднационалности.</w:t>
            </w:r>
          </w:p>
          <w:p w:rsidR="00000000" w:rsidDel="00000000" w:rsidP="00000000" w:rsidRDefault="00000000" w:rsidRPr="00000000" w14:paraId="00000034">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Практична настава </w:t>
            </w:r>
            <w:r w:rsidDel="00000000" w:rsidR="00000000" w:rsidRPr="00000000">
              <w:rPr>
                <w:rtl w:val="0"/>
              </w:rPr>
            </w:r>
          </w:p>
          <w:p w:rsidR="00000000" w:rsidDel="00000000" w:rsidP="00000000" w:rsidRDefault="00000000" w:rsidRPr="00000000" w14:paraId="00000035">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Вежбе, студијски истраживачки рад, други облици наставе</w:t>
            </w:r>
          </w:p>
        </w:tc>
      </w:tr>
      <w:tr>
        <w:trPr>
          <w:trHeight w:val="227" w:hRule="atLeast"/>
        </w:trPr>
        <w:tc>
          <w:tcPr>
            <w:gridSpan w:val="5"/>
            <w:vAlign w:val="center"/>
          </w:tcPr>
          <w:p w:rsidR="00000000" w:rsidDel="00000000" w:rsidP="00000000" w:rsidRDefault="00000000" w:rsidRPr="00000000" w14:paraId="0000003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Литература </w:t>
            </w:r>
            <w:r w:rsidDel="00000000" w:rsidR="00000000" w:rsidRPr="00000000">
              <w:rPr>
                <w:rtl w:val="0"/>
              </w:rPr>
            </w:r>
          </w:p>
          <w:p w:rsidR="00000000" w:rsidDel="00000000" w:rsidP="00000000" w:rsidRDefault="00000000" w:rsidRPr="00000000" w14:paraId="0000003B">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Основна</w:t>
            </w:r>
            <w:r w:rsidDel="00000000" w:rsidR="00000000" w:rsidRPr="00000000">
              <w:rPr>
                <w:rtl w:val="0"/>
              </w:rPr>
            </w:r>
          </w:p>
          <w:p w:rsidR="00000000" w:rsidDel="00000000" w:rsidP="00000000" w:rsidRDefault="00000000" w:rsidRPr="00000000" w14:paraId="0000003C">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1.Обрад Рачић, Војин Димитријевић, </w:t>
            </w:r>
            <w:r w:rsidDel="00000000" w:rsidR="00000000" w:rsidRPr="00000000">
              <w:rPr>
                <w:rFonts w:ascii="Times New Roman" w:cs="Times New Roman" w:eastAsia="Times New Roman" w:hAnsi="Times New Roman"/>
                <w:i w:val="1"/>
                <w:sz w:val="20"/>
                <w:szCs w:val="20"/>
                <w:vertAlign w:val="baseline"/>
                <w:rtl w:val="0"/>
              </w:rPr>
              <w:t xml:space="preserve">Међународне организације</w:t>
            </w:r>
            <w:r w:rsidDel="00000000" w:rsidR="00000000" w:rsidRPr="00000000">
              <w:rPr>
                <w:rFonts w:ascii="Times New Roman" w:cs="Times New Roman" w:eastAsia="Times New Roman" w:hAnsi="Times New Roman"/>
                <w:sz w:val="20"/>
                <w:szCs w:val="20"/>
                <w:vertAlign w:val="baseline"/>
                <w:rtl w:val="0"/>
              </w:rPr>
              <w:t xml:space="preserve">, Службени гласник, Унион, Београд, 2011. 270 стр.</w:t>
            </w:r>
          </w:p>
          <w:p w:rsidR="00000000" w:rsidDel="00000000" w:rsidP="00000000" w:rsidRDefault="00000000" w:rsidRPr="00000000" w14:paraId="0000003D">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2. Повеља Уједињених нација</w:t>
            </w:r>
          </w:p>
          <w:p w:rsidR="00000000" w:rsidDel="00000000" w:rsidP="00000000" w:rsidRDefault="00000000" w:rsidRPr="00000000" w14:paraId="0000003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Допунска</w:t>
            </w:r>
            <w:r w:rsidDel="00000000" w:rsidR="00000000" w:rsidRPr="00000000">
              <w:rPr>
                <w:rtl w:val="0"/>
              </w:rPr>
            </w:r>
          </w:p>
          <w:p w:rsidR="00000000" w:rsidDel="00000000" w:rsidP="00000000" w:rsidRDefault="00000000" w:rsidRPr="00000000" w14:paraId="0000003F">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1. Jan Klabbers, „The Life and Times of the Law of International Organizations“  </w:t>
            </w:r>
            <w:r w:rsidDel="00000000" w:rsidR="00000000" w:rsidRPr="00000000">
              <w:rPr>
                <w:rFonts w:ascii="Times New Roman" w:cs="Times New Roman" w:eastAsia="Times New Roman" w:hAnsi="Times New Roman"/>
                <w:i w:val="1"/>
                <w:sz w:val="20"/>
                <w:szCs w:val="20"/>
                <w:vertAlign w:val="baseline"/>
                <w:rtl w:val="0"/>
              </w:rPr>
              <w:t xml:space="preserve">Nordic Journal of International Law</w:t>
            </w:r>
            <w:r w:rsidDel="00000000" w:rsidR="00000000" w:rsidRPr="00000000">
              <w:rPr>
                <w:rFonts w:ascii="Times New Roman" w:cs="Times New Roman" w:eastAsia="Times New Roman" w:hAnsi="Times New Roman"/>
                <w:sz w:val="20"/>
                <w:szCs w:val="20"/>
                <w:vertAlign w:val="baseline"/>
                <w:rtl w:val="0"/>
              </w:rPr>
              <w:t xml:space="preserve">, No. 70, 2001, pp. 287–317. </w:t>
            </w:r>
          </w:p>
          <w:p w:rsidR="00000000" w:rsidDel="00000000" w:rsidP="00000000" w:rsidRDefault="00000000" w:rsidRPr="00000000" w14:paraId="00000040">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2. Jan Klabbers, „The Paradox of International Institutional Law“ </w:t>
            </w:r>
            <w:r w:rsidDel="00000000" w:rsidR="00000000" w:rsidRPr="00000000">
              <w:rPr>
                <w:rFonts w:ascii="Times New Roman" w:cs="Times New Roman" w:eastAsia="Times New Roman" w:hAnsi="Times New Roman"/>
                <w:i w:val="1"/>
                <w:sz w:val="20"/>
                <w:szCs w:val="20"/>
                <w:vertAlign w:val="baseline"/>
                <w:rtl w:val="0"/>
              </w:rPr>
              <w:t xml:space="preserve">International Organizations Law Review</w:t>
            </w:r>
            <w:r w:rsidDel="00000000" w:rsidR="00000000" w:rsidRPr="00000000">
              <w:rPr>
                <w:rFonts w:ascii="Times New Roman" w:cs="Times New Roman" w:eastAsia="Times New Roman" w:hAnsi="Times New Roman"/>
                <w:sz w:val="20"/>
                <w:szCs w:val="20"/>
                <w:vertAlign w:val="baseline"/>
                <w:rtl w:val="0"/>
              </w:rPr>
              <w:t xml:space="preserve">, No. 5 (2008), pp. 1–23.</w:t>
            </w:r>
          </w:p>
          <w:p w:rsidR="00000000" w:rsidDel="00000000" w:rsidP="00000000" w:rsidRDefault="00000000" w:rsidRPr="00000000" w14:paraId="00000041">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3. Jacob Katz Cogan, Ian Hurd, Ian Johnstone (ed.), </w:t>
            </w:r>
            <w:r w:rsidDel="00000000" w:rsidR="00000000" w:rsidRPr="00000000">
              <w:rPr>
                <w:rFonts w:ascii="Times New Roman" w:cs="Times New Roman" w:eastAsia="Times New Roman" w:hAnsi="Times New Roman"/>
                <w:i w:val="1"/>
                <w:sz w:val="20"/>
                <w:szCs w:val="20"/>
                <w:vertAlign w:val="baseline"/>
                <w:rtl w:val="0"/>
              </w:rPr>
              <w:t xml:space="preserve">The Oxford Handbook of International Organizations</w:t>
            </w:r>
            <w:r w:rsidDel="00000000" w:rsidR="00000000" w:rsidRPr="00000000">
              <w:rPr>
                <w:rFonts w:ascii="Times New Roman" w:cs="Times New Roman" w:eastAsia="Times New Roman" w:hAnsi="Times New Roman"/>
                <w:sz w:val="20"/>
                <w:szCs w:val="20"/>
                <w:vertAlign w:val="baseline"/>
                <w:rtl w:val="0"/>
              </w:rPr>
              <w:t xml:space="preserve">, Oxfrord University Press, Oxfrord, 2016.</w:t>
            </w:r>
          </w:p>
          <w:p w:rsidR="00000000" w:rsidDel="00000000" w:rsidP="00000000" w:rsidRDefault="00000000" w:rsidRPr="00000000" w14:paraId="00000042">
            <w:pPr>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4. Ian Hurd, </w:t>
            </w:r>
            <w:r w:rsidDel="00000000" w:rsidR="00000000" w:rsidRPr="00000000">
              <w:rPr>
                <w:rFonts w:ascii="Times New Roman" w:cs="Times New Roman" w:eastAsia="Times New Roman" w:hAnsi="Times New Roman"/>
                <w:i w:val="1"/>
                <w:sz w:val="20"/>
                <w:szCs w:val="20"/>
                <w:vertAlign w:val="baseline"/>
                <w:rtl w:val="0"/>
              </w:rPr>
              <w:t xml:space="preserve">International organizations – Politics, Law, Practice, </w:t>
            </w:r>
            <w:r w:rsidDel="00000000" w:rsidR="00000000" w:rsidRPr="00000000">
              <w:rPr>
                <w:rFonts w:ascii="Times New Roman" w:cs="Times New Roman" w:eastAsia="Times New Roman" w:hAnsi="Times New Roman"/>
                <w:sz w:val="20"/>
                <w:szCs w:val="20"/>
                <w:vertAlign w:val="baseline"/>
                <w:rtl w:val="0"/>
              </w:rPr>
              <w:t xml:space="preserve">Cambridge University Press, Cambridge, 2014.</w:t>
            </w:r>
          </w:p>
          <w:p w:rsidR="00000000" w:rsidDel="00000000" w:rsidP="00000000" w:rsidRDefault="00000000" w:rsidRPr="00000000" w14:paraId="00000043">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4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Број часова  активне наставе: </w:t>
            </w:r>
            <w:r w:rsidDel="00000000" w:rsidR="00000000" w:rsidRPr="00000000">
              <w:rPr>
                <w:rtl w:val="0"/>
              </w:rPr>
            </w:r>
          </w:p>
        </w:tc>
        <w:tc>
          <w:tcPr>
            <w:gridSpan w:val="2"/>
            <w:vAlign w:val="center"/>
          </w:tcPr>
          <w:p w:rsidR="00000000" w:rsidDel="00000000" w:rsidP="00000000" w:rsidRDefault="00000000" w:rsidRPr="00000000" w14:paraId="0000004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Теоријска настава: </w:t>
            </w:r>
            <w:r w:rsidDel="00000000" w:rsidR="00000000" w:rsidRPr="00000000">
              <w:rPr>
                <w:rFonts w:ascii="Times New Roman" w:cs="Times New Roman" w:eastAsia="Times New Roman" w:hAnsi="Times New Roman"/>
                <w:sz w:val="20"/>
                <w:szCs w:val="20"/>
                <w:vertAlign w:val="baseline"/>
                <w:rtl w:val="0"/>
              </w:rPr>
              <w:t xml:space="preserve">45</w:t>
            </w:r>
            <w:r w:rsidDel="00000000" w:rsidR="00000000" w:rsidRPr="00000000">
              <w:rPr>
                <w:rtl w:val="0"/>
              </w:rPr>
            </w:r>
          </w:p>
        </w:tc>
        <w:tc>
          <w:tcPr>
            <w:gridSpan w:val="2"/>
            <w:vAlign w:val="center"/>
          </w:tcPr>
          <w:p w:rsidR="00000000" w:rsidDel="00000000" w:rsidP="00000000" w:rsidRDefault="00000000" w:rsidRPr="00000000" w14:paraId="0000004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Практична настава: </w:t>
            </w:r>
            <w:r w:rsidDel="00000000" w:rsidR="00000000" w:rsidRPr="00000000">
              <w:rPr>
                <w:rFonts w:ascii="Times New Roman" w:cs="Times New Roman" w:eastAsia="Times New Roman" w:hAnsi="Times New Roman"/>
                <w:sz w:val="20"/>
                <w:szCs w:val="20"/>
                <w:vertAlign w:val="baseline"/>
                <w:rtl w:val="0"/>
              </w:rPr>
              <w:t xml:space="preserve">15</w:t>
            </w:r>
            <w:r w:rsidDel="00000000" w:rsidR="00000000" w:rsidRPr="00000000">
              <w:rPr>
                <w:rtl w:val="0"/>
              </w:rPr>
            </w:r>
          </w:p>
        </w:tc>
      </w:tr>
      <w:tr>
        <w:trPr>
          <w:trHeight w:val="227" w:hRule="atLeast"/>
        </w:trPr>
        <w:tc>
          <w:tcPr>
            <w:gridSpan w:val="5"/>
            <w:vAlign w:val="center"/>
          </w:tcPr>
          <w:p w:rsidR="00000000" w:rsidDel="00000000" w:rsidP="00000000" w:rsidRDefault="00000000" w:rsidRPr="00000000" w14:paraId="0000004D">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Методе извођења наставе</w:t>
            </w:r>
            <w:r w:rsidDel="00000000" w:rsidR="00000000" w:rsidRPr="00000000">
              <w:rPr>
                <w:rtl w:val="0"/>
              </w:rPr>
            </w:r>
          </w:p>
          <w:p w:rsidR="00000000" w:rsidDel="00000000" w:rsidP="00000000" w:rsidRDefault="00000000" w:rsidRPr="00000000" w14:paraId="0000004E">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 извођењу наставе ће бити кориштен модел комбинације предавања и вежби, укључујући интерактивни приступ раду.</w:t>
            </w:r>
          </w:p>
        </w:tc>
      </w:tr>
      <w:tr>
        <w:trPr>
          <w:trHeight w:val="227" w:hRule="atLeast"/>
        </w:trPr>
        <w:tc>
          <w:tcPr>
            <w:gridSpan w:val="5"/>
            <w:vAlign w:val="center"/>
          </w:tcPr>
          <w:p w:rsidR="00000000" w:rsidDel="00000000" w:rsidP="00000000" w:rsidRDefault="00000000" w:rsidRPr="00000000" w14:paraId="00000053">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Оцена  знања (максимални број поена 100)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8">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Предиспитне обавезе</w:t>
            </w:r>
            <w:r w:rsidDel="00000000" w:rsidR="00000000" w:rsidRPr="00000000">
              <w:rPr>
                <w:rtl w:val="0"/>
              </w:rPr>
            </w:r>
          </w:p>
        </w:tc>
        <w:tc>
          <w:tcPr>
            <w:vAlign w:val="center"/>
          </w:tcPr>
          <w:p w:rsidR="00000000" w:rsidDel="00000000" w:rsidP="00000000" w:rsidRDefault="00000000" w:rsidRPr="00000000" w14:paraId="00000059">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p>
          <w:p w:rsidR="00000000" w:rsidDel="00000000" w:rsidP="00000000" w:rsidRDefault="00000000" w:rsidRPr="00000000" w14:paraId="0000005A">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5B">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Завршни испит </w:t>
            </w:r>
            <w:r w:rsidDel="00000000" w:rsidR="00000000" w:rsidRPr="00000000">
              <w:rPr>
                <w:rtl w:val="0"/>
              </w:rPr>
            </w:r>
          </w:p>
        </w:tc>
        <w:tc>
          <w:tcPr>
            <w:vAlign w:val="center"/>
          </w:tcPr>
          <w:p w:rsidR="00000000" w:rsidDel="00000000" w:rsidP="00000000" w:rsidRDefault="00000000" w:rsidRPr="00000000" w14:paraId="0000005D">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поена</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5E">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активност у току предавања</w:t>
            </w:r>
            <w:r w:rsidDel="00000000" w:rsidR="00000000" w:rsidRPr="00000000">
              <w:rPr>
                <w:rtl w:val="0"/>
              </w:rPr>
            </w:r>
          </w:p>
        </w:tc>
        <w:tc>
          <w:tcPr>
            <w:vAlign w:val="center"/>
          </w:tcPr>
          <w:p w:rsidR="00000000" w:rsidDel="00000000" w:rsidP="00000000" w:rsidRDefault="00000000" w:rsidRPr="00000000" w14:paraId="0000005F">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0">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писмени испит</w:t>
            </w:r>
            <w:r w:rsidDel="00000000" w:rsidR="00000000" w:rsidRPr="00000000">
              <w:rPr>
                <w:rtl w:val="0"/>
              </w:rPr>
            </w:r>
          </w:p>
        </w:tc>
        <w:tc>
          <w:tcPr>
            <w:vAlign w:val="center"/>
          </w:tcPr>
          <w:p w:rsidR="00000000" w:rsidDel="00000000" w:rsidP="00000000" w:rsidRDefault="00000000" w:rsidRPr="00000000" w14:paraId="00000062">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3">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практична настава</w:t>
            </w:r>
            <w:r w:rsidDel="00000000" w:rsidR="00000000" w:rsidRPr="00000000">
              <w:rPr>
                <w:rtl w:val="0"/>
              </w:rPr>
            </w:r>
          </w:p>
        </w:tc>
        <w:tc>
          <w:tcPr>
            <w:vAlign w:val="center"/>
          </w:tcPr>
          <w:p w:rsidR="00000000" w:rsidDel="00000000" w:rsidP="00000000" w:rsidRDefault="00000000" w:rsidRPr="00000000" w14:paraId="00000064">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10</w:t>
            </w:r>
            <w:r w:rsidDel="00000000" w:rsidR="00000000" w:rsidRPr="00000000">
              <w:rPr>
                <w:rtl w:val="0"/>
              </w:rPr>
            </w:r>
          </w:p>
        </w:tc>
        <w:tc>
          <w:tcPr>
            <w:gridSpan w:val="2"/>
            <w:vAlign w:val="center"/>
          </w:tcPr>
          <w:p w:rsidR="00000000" w:rsidDel="00000000" w:rsidP="00000000" w:rsidRDefault="00000000" w:rsidRPr="00000000" w14:paraId="00000065">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усмени испт</w:t>
            </w:r>
            <w:r w:rsidDel="00000000" w:rsidR="00000000" w:rsidRPr="00000000">
              <w:rPr>
                <w:rtl w:val="0"/>
              </w:rPr>
            </w:r>
          </w:p>
        </w:tc>
        <w:tc>
          <w:tcPr>
            <w:vAlign w:val="center"/>
          </w:tcPr>
          <w:p w:rsidR="00000000" w:rsidDel="00000000" w:rsidP="00000000" w:rsidRDefault="00000000" w:rsidRPr="00000000" w14:paraId="00000067">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50</w:t>
            </w:r>
            <w:r w:rsidDel="00000000" w:rsidR="00000000" w:rsidRPr="00000000">
              <w:rPr>
                <w:rtl w:val="0"/>
              </w:rPr>
            </w:r>
          </w:p>
        </w:tc>
      </w:tr>
      <w:tr>
        <w:trPr>
          <w:trHeight w:val="227" w:hRule="atLeast"/>
        </w:trPr>
        <w:tc>
          <w:tcPr>
            <w:vAlign w:val="center"/>
          </w:tcPr>
          <w:p w:rsidR="00000000" w:rsidDel="00000000" w:rsidP="00000000" w:rsidRDefault="00000000" w:rsidRPr="00000000" w14:paraId="00000068">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колоквијум-и</w:t>
            </w:r>
            <w:r w:rsidDel="00000000" w:rsidR="00000000" w:rsidRPr="00000000">
              <w:rPr>
                <w:rtl w:val="0"/>
              </w:rPr>
            </w:r>
          </w:p>
        </w:tc>
        <w:tc>
          <w:tcPr>
            <w:vAlign w:val="center"/>
          </w:tcPr>
          <w:p w:rsidR="00000000" w:rsidDel="00000000" w:rsidP="00000000" w:rsidRDefault="00000000" w:rsidRPr="00000000" w14:paraId="00000069">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20 + 20</w:t>
            </w:r>
            <w:r w:rsidDel="00000000" w:rsidR="00000000" w:rsidRPr="00000000">
              <w:rPr>
                <w:rtl w:val="0"/>
              </w:rPr>
            </w:r>
          </w:p>
        </w:tc>
        <w:tc>
          <w:tcPr>
            <w:gridSpan w:val="2"/>
            <w:vAlign w:val="center"/>
          </w:tcPr>
          <w:p w:rsidR="00000000" w:rsidDel="00000000" w:rsidP="00000000" w:rsidRDefault="00000000" w:rsidRPr="00000000" w14:paraId="0000006A">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Fonts w:ascii="Times New Roman" w:cs="Times New Roman" w:eastAsia="Times New Roman" w:hAnsi="Times New Roman"/>
                <w:i w:val="1"/>
                <w:sz w:val="20"/>
                <w:szCs w:val="20"/>
                <w:vertAlign w:val="baseline"/>
                <w:rtl w:val="0"/>
              </w:rPr>
              <w:t xml:space="preserve">..........</w:t>
            </w:r>
            <w:r w:rsidDel="00000000" w:rsidR="00000000" w:rsidRPr="00000000">
              <w:rPr>
                <w:rtl w:val="0"/>
              </w:rPr>
            </w:r>
          </w:p>
        </w:tc>
        <w:tc>
          <w:tcPr>
            <w:vAlign w:val="center"/>
          </w:tcPr>
          <w:p w:rsidR="00000000" w:rsidDel="00000000" w:rsidP="00000000" w:rsidRDefault="00000000" w:rsidRPr="00000000" w14:paraId="0000006C">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r>
        <w:trPr>
          <w:trHeight w:val="227" w:hRule="atLeast"/>
        </w:trPr>
        <w:tc>
          <w:tcPr>
            <w:vAlign w:val="center"/>
          </w:tcPr>
          <w:p w:rsidR="00000000" w:rsidDel="00000000" w:rsidP="00000000" w:rsidRDefault="00000000" w:rsidRPr="00000000" w14:paraId="0000006D">
            <w:pPr>
              <w:tabs>
                <w:tab w:val="left" w:pos="567"/>
              </w:tabs>
              <w:spacing w:after="60" w:lineRule="auto"/>
              <w:jc w:val="both"/>
              <w:rPr>
                <w:rFonts w:ascii="Times New Roman" w:cs="Times New Roman" w:eastAsia="Times New Roman" w:hAnsi="Times New Roman"/>
                <w:sz w:val="20"/>
                <w:szCs w:val="20"/>
                <w:vertAlign w:val="baseline"/>
              </w:rPr>
            </w:pPr>
            <w:r w:rsidDel="00000000" w:rsidR="00000000" w:rsidRPr="00000000">
              <w:rPr>
                <w:rFonts w:ascii="Times New Roman" w:cs="Times New Roman" w:eastAsia="Times New Roman" w:hAnsi="Times New Roman"/>
                <w:sz w:val="20"/>
                <w:szCs w:val="20"/>
                <w:vertAlign w:val="baseline"/>
                <w:rtl w:val="0"/>
              </w:rPr>
              <w:t xml:space="preserve">семинар-и</w:t>
            </w:r>
          </w:p>
        </w:tc>
        <w:tc>
          <w:tcPr>
            <w:vAlign w:val="center"/>
          </w:tcPr>
          <w:p w:rsidR="00000000" w:rsidDel="00000000" w:rsidP="00000000" w:rsidRDefault="00000000" w:rsidRPr="00000000" w14:paraId="0000006E">
            <w:pPr>
              <w:tabs>
                <w:tab w:val="left" w:pos="567"/>
              </w:tabs>
              <w:spacing w:after="60" w:lineRule="auto"/>
              <w:jc w:val="both"/>
              <w:rPr>
                <w:rFonts w:ascii="Times New Roman" w:cs="Times New Roman" w:eastAsia="Times New Roman" w:hAnsi="Times New Roman"/>
                <w:b w:val="0"/>
                <w:sz w:val="20"/>
                <w:szCs w:val="20"/>
                <w:vertAlign w:val="baseline"/>
              </w:rPr>
            </w:pPr>
            <w:r w:rsidDel="00000000" w:rsidR="00000000" w:rsidRPr="00000000">
              <w:rPr>
                <w:rtl w:val="0"/>
              </w:rPr>
            </w:r>
          </w:p>
        </w:tc>
        <w:tc>
          <w:tcPr>
            <w:gridSpan w:val="2"/>
            <w:vAlign w:val="center"/>
          </w:tcPr>
          <w:p w:rsidR="00000000" w:rsidDel="00000000" w:rsidP="00000000" w:rsidRDefault="00000000" w:rsidRPr="00000000" w14:paraId="0000006F">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c>
          <w:tcPr>
            <w:vAlign w:val="center"/>
          </w:tcPr>
          <w:p w:rsidR="00000000" w:rsidDel="00000000" w:rsidP="00000000" w:rsidRDefault="00000000" w:rsidRPr="00000000" w14:paraId="00000071">
            <w:pPr>
              <w:tabs>
                <w:tab w:val="left" w:pos="567"/>
              </w:tabs>
              <w:spacing w:after="60" w:lineRule="auto"/>
              <w:jc w:val="both"/>
              <w:rPr>
                <w:rFonts w:ascii="Times New Roman" w:cs="Times New Roman" w:eastAsia="Times New Roman" w:hAnsi="Times New Roman"/>
                <w:i w:val="0"/>
                <w:sz w:val="20"/>
                <w:szCs w:val="20"/>
                <w:vertAlign w:val="baseline"/>
              </w:rPr>
            </w:pPr>
            <w:r w:rsidDel="00000000" w:rsidR="00000000" w:rsidRPr="00000000">
              <w:rPr>
                <w:rtl w:val="0"/>
              </w:rPr>
            </w:r>
          </w:p>
        </w:tc>
      </w:tr>
    </w:tbl>
    <w:p w:rsidR="00000000" w:rsidDel="00000000" w:rsidP="00000000" w:rsidRDefault="00000000" w:rsidRPr="00000000" w14:paraId="00000072">
      <w:pPr>
        <w:jc w:val="both"/>
        <w:rPr>
          <w:vertAlign w:val="baseline"/>
        </w:rPr>
      </w:pPr>
      <w:r w:rsidDel="00000000" w:rsidR="00000000" w:rsidRPr="00000000">
        <w:rPr>
          <w:rtl w:val="0"/>
        </w:rPr>
      </w:r>
    </w:p>
    <w:sectPr>
      <w:pgSz w:h="15840" w:w="12240"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name w:val="Normal"/>
    <w:next w:val="Normal"/>
    <w:autoRedefine w:val="0"/>
    <w:hidden w:val="0"/>
    <w:qFormat w:val="0"/>
    <w:pPr>
      <w:suppressAutoHyphens w:val="1"/>
      <w:spacing w:line="1" w:lineRule="atLeast"/>
      <w:ind w:leftChars="-1" w:rightChars="0" w:firstLineChars="-1"/>
      <w:textDirection w:val="btLr"/>
      <w:textAlignment w:val="top"/>
      <w:outlineLvl w:val="0"/>
    </w:pPr>
    <w:rPr>
      <w:w w:val="100"/>
      <w:position w:val="-1"/>
      <w:sz w:val="22"/>
      <w:szCs w:val="22"/>
      <w:effect w:val="none"/>
      <w:vertAlign w:val="baseline"/>
      <w:cs w:val="0"/>
      <w:em w:val="none"/>
      <w:lang w:bidi="ar-SA" w:eastAsia="en-US" w:val="und"/>
    </w:rPr>
  </w:style>
  <w:style w:type="character" w:styleId="DefaultParagraphFont">
    <w:name w:val="Default Paragraph Font"/>
    <w:next w:val="DefaultParagraphFont"/>
    <w:autoRedefine w:val="0"/>
    <w:hidden w:val="0"/>
    <w:qFormat w:val="1"/>
    <w:rPr>
      <w:w w:val="100"/>
      <w:position w:val="-1"/>
      <w:effect w:val="none"/>
      <w:vertAlign w:val="baseline"/>
      <w:cs w:val="0"/>
      <w:em w:val="none"/>
      <w:lang/>
    </w:rPr>
  </w:style>
  <w:style w:type="table" w:styleId="TableNormal">
    <w:name w:val="Table Normal"/>
    <w:next w:val="TableNormal"/>
    <w:autoRedefine w:val="0"/>
    <w:hidden w:val="0"/>
    <w:qFormat w:val="1"/>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jc w:val="left"/>
      <w:tblInd w:w="0.0" w:type="dxa"/>
      <w:tblCellMar>
        <w:top w:w="0.0" w:type="dxa"/>
        <w:left w:w="108.0" w:type="dxa"/>
        <w:bottom w:w="0.0" w:type="dxa"/>
        <w:right w:w="108.0" w:type="dxa"/>
      </w:tblCellMar>
    </w:tblPr>
  </w:style>
  <w:style w:type="numbering" w:styleId="NoList">
    <w:name w:val="No List"/>
    <w:next w:val="NoList"/>
    <w:autoRedefine w:val="0"/>
    <w:hidden w:val="0"/>
    <w:qFormat w:val="1"/>
    <w:pPr>
      <w:suppressAutoHyphens w:val="1"/>
      <w:spacing w:line="1" w:lineRule="atLeast"/>
      <w:ind w:leftChars="-1" w:rightChars="0" w:firstLineChars="-1"/>
      <w:textDirection w:val="btLr"/>
      <w:textAlignment w:val="top"/>
      <w:outlineLvl w:val="0"/>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djjwv+ffcbGEjNBze1COrA20PfA==">AMUW2mWqJB30YsATEasVGwstN+MDtjGs51RAjJatxYJMby/fYiWw5TouLA8ciRY8eYT7eMk29/sjeoLmfIDt+2YnNh1/ehaFrUEu/PR0mynTcYKiuO4XaZE=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2021-02-28T11:58:00Z</dcterms:created>
  <dc:creator>ivana.sunderic</dc:creator>
</cp:coreProperties>
</file>